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A7" w:rsidRDefault="001C6FA7" w:rsidP="00085D61">
      <w:pPr>
        <w:tabs>
          <w:tab w:val="left" w:pos="2685"/>
        </w:tabs>
        <w:rPr>
          <w:rFonts w:ascii="Copperplate Gothic Bold" w:hAnsi="Copperplate Gothic Bold"/>
          <w:b/>
          <w:bCs/>
          <w:sz w:val="32"/>
          <w:szCs w:val="32"/>
        </w:rPr>
      </w:pPr>
    </w:p>
    <w:p w:rsidR="001C6FA7" w:rsidRPr="001C6FA7" w:rsidRDefault="001C6FA7" w:rsidP="001C6FA7">
      <w:pPr>
        <w:tabs>
          <w:tab w:val="left" w:pos="3915"/>
          <w:tab w:val="left" w:pos="4965"/>
        </w:tabs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ab/>
      </w:r>
      <w:r>
        <w:rPr>
          <w:rFonts w:ascii="Copperplate Gothic Bold" w:hAnsi="Copperplate Gothic Bold"/>
          <w:sz w:val="32"/>
          <w:szCs w:val="32"/>
        </w:rPr>
        <w:tab/>
      </w:r>
    </w:p>
    <w:p w:rsidR="001C6FA7" w:rsidRDefault="003C0D66" w:rsidP="00085D61">
      <w:pPr>
        <w:tabs>
          <w:tab w:val="left" w:pos="2685"/>
        </w:tabs>
        <w:rPr>
          <w:rFonts w:ascii="Copperplate Gothic Bold" w:hAnsi="Copperplate Gothic Bold"/>
          <w:b/>
          <w:bCs/>
          <w:sz w:val="32"/>
          <w:szCs w:val="32"/>
        </w:rPr>
      </w:pPr>
      <w:r>
        <w:rPr>
          <w:rFonts w:ascii="Copperplate Gothic Bold" w:hAnsi="Copperplate Gothic 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635</wp:posOffset>
            </wp:positionV>
            <wp:extent cx="1323975" cy="809625"/>
            <wp:effectExtent l="19050" t="0" r="9525" b="0"/>
            <wp:wrapSquare wrapText="bothSides"/>
            <wp:docPr id="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6FA7">
        <w:rPr>
          <w:rFonts w:ascii="Copperplate Gothic Bold" w:hAnsi="Copperplate Gothic Bold"/>
          <w:b/>
          <w:bCs/>
          <w:sz w:val="32"/>
          <w:szCs w:val="32"/>
        </w:rPr>
        <w:t xml:space="preserve">               </w:t>
      </w:r>
      <w:r w:rsidRPr="003C0D66">
        <w:rPr>
          <w:rFonts w:ascii="Copperplate Gothic Bold" w:hAnsi="Copperplate Gothic Bold"/>
          <w:b/>
          <w:bCs/>
          <w:sz w:val="32"/>
          <w:szCs w:val="32"/>
        </w:rPr>
        <w:drawing>
          <wp:inline distT="0" distB="0" distL="0" distR="0">
            <wp:extent cx="1152525" cy="6000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FA7">
        <w:rPr>
          <w:rFonts w:ascii="Copperplate Gothic Bold" w:hAnsi="Copperplate Gothic Bold"/>
          <w:b/>
          <w:bCs/>
          <w:sz w:val="32"/>
          <w:szCs w:val="32"/>
        </w:rPr>
        <w:t xml:space="preserve">                        </w:t>
      </w:r>
      <w:r w:rsidRPr="003C0D66">
        <w:rPr>
          <w:rFonts w:ascii="Copperplate Gothic Bold" w:hAnsi="Copperplate Gothic Bold"/>
          <w:b/>
          <w:bCs/>
          <w:sz w:val="32"/>
          <w:szCs w:val="32"/>
        </w:rPr>
        <w:drawing>
          <wp:inline distT="0" distB="0" distL="0" distR="0">
            <wp:extent cx="923925" cy="857250"/>
            <wp:effectExtent l="19050" t="0" r="9525" b="0"/>
            <wp:docPr id="4" name="Image 2" descr="C:\Save\28_05_2011\ATAI\Programme de travail\Conférence 2012\Logos\Logos\Logo AT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Save\28_05_2011\ATAI\Programme de travail\Conférence 2012\Logos\Logos\Logo ATA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FA7">
        <w:rPr>
          <w:rFonts w:ascii="Copperplate Gothic Bold" w:hAnsi="Copperplate Gothic Bold"/>
          <w:b/>
          <w:bCs/>
          <w:sz w:val="32"/>
          <w:szCs w:val="32"/>
        </w:rPr>
        <w:t xml:space="preserve">                         </w:t>
      </w:r>
    </w:p>
    <w:p w:rsidR="00951E2C" w:rsidRDefault="001C6FA7" w:rsidP="001C6FA7">
      <w:pPr>
        <w:tabs>
          <w:tab w:val="left" w:pos="5160"/>
        </w:tabs>
        <w:rPr>
          <w:rFonts w:ascii="Copperplate Gothic Bold" w:hAnsi="Copperplate Gothic Bold"/>
          <w:b/>
          <w:bCs/>
          <w:sz w:val="32"/>
          <w:szCs w:val="32"/>
        </w:rPr>
      </w:pPr>
      <w:r>
        <w:rPr>
          <w:rFonts w:ascii="Copperplate Gothic Bold" w:hAnsi="Copperplate Gothic Bold"/>
          <w:b/>
          <w:bCs/>
          <w:sz w:val="32"/>
          <w:szCs w:val="32"/>
        </w:rPr>
        <w:tab/>
      </w:r>
      <w:r>
        <w:rPr>
          <w:rFonts w:ascii="Copperplate Gothic Bold" w:hAnsi="Copperplate Gothic Bold"/>
          <w:b/>
          <w:bCs/>
          <w:sz w:val="32"/>
          <w:szCs w:val="32"/>
        </w:rPr>
        <w:br w:type="textWrapping" w:clear="all"/>
      </w:r>
    </w:p>
    <w:p w:rsidR="00951E2C" w:rsidRDefault="00951E2C" w:rsidP="00085D61">
      <w:pPr>
        <w:tabs>
          <w:tab w:val="left" w:pos="2685"/>
        </w:tabs>
        <w:rPr>
          <w:rFonts w:ascii="Copperplate Gothic Bold" w:hAnsi="Copperplate Gothic Bold"/>
          <w:b/>
          <w:bCs/>
          <w:sz w:val="32"/>
          <w:szCs w:val="32"/>
        </w:rPr>
      </w:pPr>
    </w:p>
    <w:p w:rsidR="00951E2C" w:rsidRDefault="00951E2C" w:rsidP="00085D61">
      <w:pPr>
        <w:tabs>
          <w:tab w:val="left" w:pos="2685"/>
        </w:tabs>
        <w:rPr>
          <w:rFonts w:ascii="Copperplate Gothic Bold" w:hAnsi="Copperplate Gothic Bold"/>
          <w:b/>
          <w:bCs/>
          <w:sz w:val="32"/>
          <w:szCs w:val="32"/>
        </w:rPr>
      </w:pPr>
    </w:p>
    <w:p w:rsidR="00085D61" w:rsidRPr="00711318" w:rsidRDefault="00085D61" w:rsidP="00085D61">
      <w:pPr>
        <w:tabs>
          <w:tab w:val="left" w:pos="2685"/>
        </w:tabs>
        <w:rPr>
          <w:rFonts w:ascii="Copperplate Gothic Bold" w:hAnsi="Copperplate Gothic Bold"/>
          <w:b/>
          <w:bCs/>
          <w:sz w:val="32"/>
          <w:szCs w:val="32"/>
        </w:rPr>
      </w:pPr>
      <w:r w:rsidRPr="00711318">
        <w:rPr>
          <w:rFonts w:ascii="Copperplate Gothic Bold" w:hAnsi="Copperplate Gothic Bold"/>
          <w:b/>
          <w:bCs/>
          <w:sz w:val="32"/>
          <w:szCs w:val="32"/>
        </w:rPr>
        <w:t xml:space="preserve">4 Journées de Formation du 20 au 23 Juillet 2020 </w:t>
      </w:r>
    </w:p>
    <w:p w:rsidR="00085D61" w:rsidRPr="00711318" w:rsidRDefault="00085D61" w:rsidP="00085D61">
      <w:pPr>
        <w:tabs>
          <w:tab w:val="left" w:pos="2685"/>
        </w:tabs>
        <w:jc w:val="center"/>
        <w:rPr>
          <w:rFonts w:ascii="Copperplate Gothic Bold" w:hAnsi="Copperplate Gothic Bold"/>
          <w:b/>
          <w:bCs/>
          <w:sz w:val="32"/>
          <w:szCs w:val="32"/>
        </w:rPr>
      </w:pPr>
      <w:r w:rsidRPr="00711318">
        <w:rPr>
          <w:rFonts w:ascii="Copperplate Gothic Bold" w:hAnsi="Copperplate Gothic Bold"/>
          <w:b/>
          <w:bCs/>
          <w:sz w:val="32"/>
          <w:szCs w:val="32"/>
        </w:rPr>
        <w:t>Et un Colloque de Synthèse le 28 Juillet 2020</w:t>
      </w:r>
    </w:p>
    <w:p w:rsidR="00085D61" w:rsidRDefault="00085D61" w:rsidP="00085D61">
      <w:pPr>
        <w:tabs>
          <w:tab w:val="left" w:pos="2685"/>
        </w:tabs>
        <w:rPr>
          <w:rFonts w:ascii="Copperplate Gothic Bold" w:hAnsi="Copperplate Gothic Bold"/>
          <w:b/>
          <w:bCs/>
          <w:sz w:val="32"/>
          <w:szCs w:val="32"/>
        </w:rPr>
      </w:pPr>
    </w:p>
    <w:p w:rsidR="00085D61" w:rsidRDefault="00085D61" w:rsidP="00085D61">
      <w:pPr>
        <w:tabs>
          <w:tab w:val="left" w:pos="2685"/>
        </w:tabs>
        <w:rPr>
          <w:rFonts w:ascii="Copperplate Gothic Bold" w:hAnsi="Copperplate Gothic Bold"/>
          <w:b/>
          <w:bCs/>
          <w:sz w:val="32"/>
          <w:szCs w:val="32"/>
        </w:rPr>
      </w:pPr>
    </w:p>
    <w:p w:rsidR="00085D61" w:rsidRDefault="00085D61" w:rsidP="00085D61">
      <w:pPr>
        <w:tabs>
          <w:tab w:val="left" w:pos="2685"/>
        </w:tabs>
        <w:rPr>
          <w:sz w:val="28"/>
          <w:szCs w:val="28"/>
        </w:rPr>
      </w:pPr>
      <w:r w:rsidRPr="00FD5964">
        <w:rPr>
          <w:rFonts w:ascii="Copperplate Gothic Bold" w:hAnsi="Copperplate Gothic Bold"/>
          <w:i/>
          <w:iCs/>
          <w:u w:val="single"/>
        </w:rPr>
        <w:t>Thème</w:t>
      </w:r>
      <w:r>
        <w:rPr>
          <w:rFonts w:ascii="Copperplate Gothic Bold" w:hAnsi="Copperplate Gothic Bold"/>
          <w:i/>
          <w:iCs/>
          <w:u w:val="single"/>
        </w:rPr>
        <w:t xml:space="preserve"> </w:t>
      </w:r>
      <w:r w:rsidRPr="00FD5964">
        <w:rPr>
          <w:rFonts w:ascii="Copperplate Gothic Bold" w:hAnsi="Copperplate Gothic Bold"/>
          <w:i/>
          <w:iCs/>
          <w:u w:val="single"/>
        </w:rPr>
        <w:t>:</w:t>
      </w:r>
      <w:r>
        <w:rPr>
          <w:rFonts w:ascii="Copperplate Gothic Bold" w:hAnsi="Copperplate Gothic Bold"/>
          <w:i/>
          <w:iCs/>
          <w:u w:val="single"/>
        </w:rPr>
        <w:t xml:space="preserve">   </w:t>
      </w:r>
      <w:r w:rsidRPr="006E05F1">
        <w:rPr>
          <w:sz w:val="28"/>
          <w:szCs w:val="28"/>
        </w:rPr>
        <w:t>Lutte</w:t>
      </w:r>
      <w:r>
        <w:rPr>
          <w:sz w:val="28"/>
          <w:szCs w:val="28"/>
        </w:rPr>
        <w:t xml:space="preserve"> contre le B</w:t>
      </w:r>
      <w:r w:rsidRPr="00FD5964">
        <w:rPr>
          <w:sz w:val="28"/>
          <w:szCs w:val="28"/>
        </w:rPr>
        <w:t>lanchi</w:t>
      </w:r>
      <w:r>
        <w:rPr>
          <w:sz w:val="28"/>
          <w:szCs w:val="28"/>
        </w:rPr>
        <w:t>ment d’Argent et le Financement</w:t>
      </w:r>
      <w:r w:rsidRPr="00FD5964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u   </w:t>
      </w:r>
    </w:p>
    <w:p w:rsidR="00085D61" w:rsidRDefault="00085D61" w:rsidP="00085D6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Terrorisme.</w:t>
      </w:r>
    </w:p>
    <w:p w:rsidR="00085D61" w:rsidRDefault="00085D61" w:rsidP="00085D61">
      <w:pPr>
        <w:tabs>
          <w:tab w:val="left" w:pos="2685"/>
        </w:tabs>
        <w:rPr>
          <w:sz w:val="28"/>
          <w:szCs w:val="28"/>
        </w:rPr>
      </w:pPr>
    </w:p>
    <w:p w:rsidR="00085D61" w:rsidRDefault="00085D61" w:rsidP="00085D61">
      <w:pPr>
        <w:tabs>
          <w:tab w:val="left" w:pos="2685"/>
        </w:tabs>
      </w:pPr>
      <w:r w:rsidRPr="00B220F6">
        <w:rPr>
          <w:rFonts w:ascii="Copperplate Gothic Bold" w:hAnsi="Copperplate Gothic Bold"/>
          <w:i/>
          <w:iCs/>
          <w:u w:val="single"/>
        </w:rPr>
        <w:t>Lieu :</w:t>
      </w:r>
      <w:r w:rsidRPr="005073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07346">
        <w:rPr>
          <w:sz w:val="28"/>
          <w:szCs w:val="28"/>
        </w:rPr>
        <w:t>Siège</w:t>
      </w:r>
      <w:r>
        <w:rPr>
          <w:sz w:val="28"/>
          <w:szCs w:val="28"/>
        </w:rPr>
        <w:t xml:space="preserve"> de l’Académie des Banques et Finances</w:t>
      </w:r>
      <w:r w:rsidRPr="00B220F6">
        <w:rPr>
          <w:sz w:val="28"/>
          <w:szCs w:val="28"/>
        </w:rPr>
        <w:t xml:space="preserve"> </w:t>
      </w:r>
      <w:r>
        <w:rPr>
          <w:sz w:val="28"/>
          <w:szCs w:val="28"/>
        </w:rPr>
        <w:t>« </w:t>
      </w:r>
      <w:r w:rsidRPr="00B220F6">
        <w:rPr>
          <w:sz w:val="28"/>
          <w:szCs w:val="28"/>
        </w:rPr>
        <w:t>ABF</w:t>
      </w:r>
      <w:r>
        <w:rPr>
          <w:sz w:val="28"/>
          <w:szCs w:val="28"/>
        </w:rPr>
        <w:t> »</w:t>
      </w:r>
      <w:r w:rsidRPr="00B220F6">
        <w:rPr>
          <w:sz w:val="28"/>
          <w:szCs w:val="28"/>
        </w:rPr>
        <w:t xml:space="preserve"> </w:t>
      </w:r>
      <w:r>
        <w:rPr>
          <w:sz w:val="28"/>
          <w:szCs w:val="28"/>
        </w:rPr>
        <w:t>Montplaisir 13, Rue Omar Ibn Kaddeh (prolongement de l’Avenue Kheireddine Pacha) Tunis</w:t>
      </w:r>
      <w:r w:rsidRPr="00B220F6">
        <w:rPr>
          <w:sz w:val="28"/>
          <w:szCs w:val="28"/>
        </w:rPr>
        <w:t>.</w:t>
      </w:r>
      <w:r>
        <w:t xml:space="preserve"> </w:t>
      </w:r>
    </w:p>
    <w:p w:rsidR="00085D61" w:rsidRDefault="00085D61" w:rsidP="00085D61">
      <w:pPr>
        <w:tabs>
          <w:tab w:val="left" w:pos="2685"/>
        </w:tabs>
      </w:pPr>
    </w:p>
    <w:p w:rsidR="00085D61" w:rsidRDefault="00085D61" w:rsidP="00085D61">
      <w:pPr>
        <w:tabs>
          <w:tab w:val="left" w:pos="2685"/>
        </w:tabs>
        <w:jc w:val="both"/>
        <w:rPr>
          <w:sz w:val="28"/>
          <w:szCs w:val="28"/>
        </w:rPr>
      </w:pPr>
      <w:r w:rsidRPr="00AA1A66">
        <w:rPr>
          <w:rFonts w:ascii="Copperplate Gothic Bold" w:hAnsi="Copperplate Gothic Bold"/>
          <w:i/>
          <w:iCs/>
          <w:u w:val="single"/>
        </w:rPr>
        <w:t>Population Cible :</w:t>
      </w:r>
      <w:r>
        <w:rPr>
          <w:rFonts w:ascii="Copperplate Gothic Bold" w:hAnsi="Copperplate Gothic Bold"/>
          <w:i/>
          <w:iCs/>
          <w:u w:val="single"/>
        </w:rPr>
        <w:t xml:space="preserve"> </w:t>
      </w:r>
      <w:r w:rsidRPr="00536626">
        <w:rPr>
          <w:rFonts w:ascii="Copperplate Gothic Bold" w:hAnsi="Copperplate Gothic Bold"/>
          <w:i/>
          <w:iCs/>
          <w:sz w:val="28"/>
          <w:szCs w:val="28"/>
          <w:u w:val="single"/>
        </w:rPr>
        <w:t xml:space="preserve"> </w:t>
      </w:r>
      <w:r w:rsidRPr="00536626">
        <w:rPr>
          <w:sz w:val="28"/>
          <w:szCs w:val="28"/>
        </w:rPr>
        <w:t>Responsables</w:t>
      </w:r>
      <w:r>
        <w:rPr>
          <w:sz w:val="28"/>
          <w:szCs w:val="28"/>
        </w:rPr>
        <w:t xml:space="preserve"> et Collaborateurs </w:t>
      </w:r>
      <w:r w:rsidRPr="00536626">
        <w:rPr>
          <w:sz w:val="28"/>
          <w:szCs w:val="28"/>
        </w:rPr>
        <w:t>de l’Audit Interne, de la Conformité</w:t>
      </w:r>
      <w:r>
        <w:rPr>
          <w:sz w:val="28"/>
          <w:szCs w:val="28"/>
        </w:rPr>
        <w:t xml:space="preserve">, du </w:t>
      </w:r>
      <w:r w:rsidRPr="00536626">
        <w:rPr>
          <w:sz w:val="28"/>
          <w:szCs w:val="28"/>
        </w:rPr>
        <w:t>Management des Risques, d</w:t>
      </w:r>
      <w:r>
        <w:rPr>
          <w:sz w:val="28"/>
          <w:szCs w:val="28"/>
        </w:rPr>
        <w:t>u</w:t>
      </w:r>
      <w:r w:rsidRPr="00536626">
        <w:rPr>
          <w:sz w:val="28"/>
          <w:szCs w:val="28"/>
        </w:rPr>
        <w:t xml:space="preserve"> Contrôle Permanent</w:t>
      </w:r>
      <w:r>
        <w:rPr>
          <w:sz w:val="28"/>
          <w:szCs w:val="28"/>
        </w:rPr>
        <w:t xml:space="preserve"> et de l’Inspection </w:t>
      </w:r>
      <w:r w:rsidRPr="00536626">
        <w:rPr>
          <w:sz w:val="28"/>
          <w:szCs w:val="28"/>
        </w:rPr>
        <w:t xml:space="preserve"> des Institutions Financières</w:t>
      </w:r>
      <w:r>
        <w:rPr>
          <w:sz w:val="28"/>
          <w:szCs w:val="28"/>
        </w:rPr>
        <w:t xml:space="preserve"> (Banques, Assurances, Leasing, Factoring)</w:t>
      </w:r>
      <w:r w:rsidRPr="00536626">
        <w:rPr>
          <w:sz w:val="28"/>
          <w:szCs w:val="28"/>
        </w:rPr>
        <w:t xml:space="preserve"> et de la </w:t>
      </w:r>
      <w:r>
        <w:rPr>
          <w:sz w:val="28"/>
          <w:szCs w:val="28"/>
        </w:rPr>
        <w:t>P</w:t>
      </w:r>
      <w:r w:rsidRPr="00536626">
        <w:rPr>
          <w:sz w:val="28"/>
          <w:szCs w:val="28"/>
        </w:rPr>
        <w:t>oste Tunisienne.</w:t>
      </w:r>
    </w:p>
    <w:p w:rsidR="00085D61" w:rsidRDefault="00085D61" w:rsidP="00085D61">
      <w:pPr>
        <w:tabs>
          <w:tab w:val="left" w:pos="2685"/>
        </w:tabs>
        <w:jc w:val="both"/>
        <w:rPr>
          <w:sz w:val="28"/>
          <w:szCs w:val="28"/>
        </w:rPr>
      </w:pPr>
    </w:p>
    <w:p w:rsidR="00085D61" w:rsidRDefault="00085D61" w:rsidP="00085D61">
      <w:pPr>
        <w:tabs>
          <w:tab w:val="left" w:pos="2685"/>
        </w:tabs>
        <w:jc w:val="both"/>
        <w:rPr>
          <w:rFonts w:ascii="Copperplate Gothic Bold" w:hAnsi="Copperplate Gothic Bold"/>
          <w:i/>
          <w:iCs/>
          <w:u w:val="single"/>
        </w:rPr>
      </w:pPr>
      <w:r w:rsidRPr="009A58CC">
        <w:rPr>
          <w:rFonts w:ascii="Copperplate Gothic Bold" w:hAnsi="Copperplate Gothic Bold"/>
          <w:i/>
          <w:iCs/>
          <w:u w:val="single"/>
        </w:rPr>
        <w:t>Horaires :</w:t>
      </w:r>
      <w:r>
        <w:rPr>
          <w:rFonts w:ascii="Copperplate Gothic Bold" w:hAnsi="Copperplate Gothic Bold"/>
          <w:i/>
          <w:iCs/>
          <w:u w:val="single"/>
        </w:rPr>
        <w:t xml:space="preserve"> </w:t>
      </w:r>
      <w:r w:rsidRPr="0029233B">
        <w:rPr>
          <w:rFonts w:ascii="Copperplate Gothic Bold" w:hAnsi="Copperplate Gothic Bold"/>
          <w:i/>
          <w:iCs/>
        </w:rPr>
        <w:t xml:space="preserve"> </w:t>
      </w:r>
      <w:r>
        <w:rPr>
          <w:rFonts w:ascii="Copperplate Gothic Bold" w:hAnsi="Copperplate Gothic Bold"/>
          <w:i/>
          <w:iCs/>
        </w:rPr>
        <w:t xml:space="preserve">   </w:t>
      </w:r>
      <w:r w:rsidRPr="0029233B">
        <w:rPr>
          <w:sz w:val="28"/>
          <w:szCs w:val="28"/>
        </w:rPr>
        <w:t>9h</w:t>
      </w:r>
      <w:r>
        <w:rPr>
          <w:sz w:val="28"/>
          <w:szCs w:val="28"/>
        </w:rPr>
        <w:t xml:space="preserve">      -   11h       </w:t>
      </w:r>
      <w:r w:rsidRPr="006E5CDF">
        <w:rPr>
          <w:sz w:val="28"/>
          <w:szCs w:val="28"/>
        </w:rPr>
        <w:t xml:space="preserve">Première </w:t>
      </w:r>
      <w:r>
        <w:rPr>
          <w:sz w:val="28"/>
          <w:szCs w:val="28"/>
        </w:rPr>
        <w:t>s</w:t>
      </w:r>
      <w:r w:rsidRPr="006B60F3">
        <w:rPr>
          <w:sz w:val="28"/>
          <w:szCs w:val="28"/>
        </w:rPr>
        <w:t xml:space="preserve">éance </w:t>
      </w:r>
      <w:r>
        <w:rPr>
          <w:sz w:val="28"/>
          <w:szCs w:val="28"/>
        </w:rPr>
        <w:t>m</w:t>
      </w:r>
      <w:r w:rsidRPr="006B60F3">
        <w:rPr>
          <w:sz w:val="28"/>
          <w:szCs w:val="28"/>
        </w:rPr>
        <w:t>atinale</w:t>
      </w:r>
    </w:p>
    <w:p w:rsidR="00085D61" w:rsidRDefault="00085D61" w:rsidP="00085D61">
      <w:pPr>
        <w:tabs>
          <w:tab w:val="left" w:pos="2685"/>
        </w:tabs>
        <w:jc w:val="both"/>
        <w:rPr>
          <w:sz w:val="28"/>
          <w:szCs w:val="28"/>
        </w:rPr>
      </w:pPr>
      <w:r>
        <w:rPr>
          <w:rFonts w:ascii="Copperplate Gothic Bold" w:hAnsi="Copperplate Gothic Bold"/>
          <w:i/>
          <w:iCs/>
        </w:rPr>
        <w:t xml:space="preserve">                          </w:t>
      </w:r>
      <w:r>
        <w:rPr>
          <w:sz w:val="28"/>
          <w:szCs w:val="28"/>
        </w:rPr>
        <w:t xml:space="preserve">11h      -   11h30   Pause café riche </w:t>
      </w:r>
    </w:p>
    <w:p w:rsidR="00085D61" w:rsidRDefault="00085D61" w:rsidP="00085D61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11h30  -   14h       Deuxième séance matinale.</w:t>
      </w:r>
    </w:p>
    <w:p w:rsidR="00085D61" w:rsidRPr="00AA1A66" w:rsidRDefault="00085D61" w:rsidP="00085D61">
      <w:pPr>
        <w:tabs>
          <w:tab w:val="left" w:pos="2685"/>
        </w:tabs>
        <w:jc w:val="both"/>
        <w:rPr>
          <w:rFonts w:ascii="Copperplate Gothic Bold" w:hAnsi="Copperplate Gothic Bold"/>
          <w:i/>
          <w:iCs/>
          <w:u w:val="single"/>
        </w:rPr>
      </w:pPr>
    </w:p>
    <w:p w:rsidR="00085D61" w:rsidRDefault="00085D61" w:rsidP="00085D61">
      <w:pPr>
        <w:tabs>
          <w:tab w:val="left" w:pos="2685"/>
        </w:tabs>
        <w:rPr>
          <w:sz w:val="28"/>
          <w:szCs w:val="28"/>
        </w:rPr>
      </w:pPr>
      <w:r w:rsidRPr="00B6331E">
        <w:rPr>
          <w:rFonts w:cs="Aharoni"/>
          <w:b/>
          <w:bCs/>
          <w:i/>
          <w:iCs/>
          <w:u w:val="single"/>
        </w:rPr>
        <w:t>Journée 1 :</w:t>
      </w:r>
      <w:r>
        <w:t xml:space="preserve">   </w:t>
      </w:r>
      <w:r w:rsidRPr="00B6331E">
        <w:rPr>
          <w:b/>
          <w:bCs/>
        </w:rPr>
        <w:t>20 Juillet</w:t>
      </w:r>
      <w:r>
        <w:t> </w:t>
      </w:r>
      <w:r w:rsidRPr="00F3180F">
        <w:t xml:space="preserve">: </w:t>
      </w:r>
      <w:r w:rsidRPr="00F3180F">
        <w:rPr>
          <w:sz w:val="28"/>
          <w:szCs w:val="28"/>
        </w:rPr>
        <w:t xml:space="preserve">Lutte contre le Blanchiment d’Argent : Normes et </w:t>
      </w:r>
      <w:r>
        <w:rPr>
          <w:sz w:val="28"/>
          <w:szCs w:val="28"/>
        </w:rPr>
        <w:t>T</w:t>
      </w:r>
      <w:r w:rsidRPr="00F3180F">
        <w:rPr>
          <w:sz w:val="28"/>
          <w:szCs w:val="28"/>
        </w:rPr>
        <w:t xml:space="preserve">extes </w:t>
      </w:r>
      <w:r>
        <w:rPr>
          <w:sz w:val="28"/>
          <w:szCs w:val="28"/>
        </w:rPr>
        <w:t xml:space="preserve">  </w:t>
      </w:r>
    </w:p>
    <w:p w:rsidR="00085D61" w:rsidRDefault="00085D61" w:rsidP="00085D61">
      <w:pPr>
        <w:tabs>
          <w:tab w:val="left" w:pos="268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R</w:t>
      </w:r>
      <w:r w:rsidRPr="00F3180F">
        <w:rPr>
          <w:sz w:val="28"/>
          <w:szCs w:val="28"/>
        </w:rPr>
        <w:t>églementaires.</w:t>
      </w:r>
    </w:p>
    <w:p w:rsidR="00085D61" w:rsidRDefault="00085D61" w:rsidP="00085D61">
      <w:pPr>
        <w:tabs>
          <w:tab w:val="left" w:pos="2685"/>
        </w:tabs>
        <w:ind w:left="851"/>
        <w:rPr>
          <w:sz w:val="28"/>
          <w:szCs w:val="28"/>
        </w:rPr>
      </w:pPr>
    </w:p>
    <w:p w:rsidR="00085D61" w:rsidRPr="006E05F1" w:rsidRDefault="00085D61" w:rsidP="00085D61">
      <w:pPr>
        <w:tabs>
          <w:tab w:val="left" w:pos="2685"/>
        </w:tabs>
        <w:ind w:left="851"/>
        <w:rPr>
          <w:sz w:val="28"/>
          <w:szCs w:val="28"/>
        </w:rPr>
      </w:pPr>
      <w:r>
        <w:rPr>
          <w:b/>
          <w:bCs/>
        </w:rPr>
        <w:t xml:space="preserve">       </w:t>
      </w:r>
      <w:r w:rsidRPr="0052750C">
        <w:rPr>
          <w:b/>
          <w:bCs/>
        </w:rPr>
        <w:t>Modérateur :</w:t>
      </w:r>
      <w:r>
        <w:rPr>
          <w:b/>
          <w:bCs/>
        </w:rPr>
        <w:t xml:space="preserve">  </w:t>
      </w:r>
      <w:r>
        <w:rPr>
          <w:sz w:val="28"/>
          <w:szCs w:val="28"/>
        </w:rPr>
        <w:t xml:space="preserve"> </w:t>
      </w:r>
      <w:r w:rsidRPr="006E05F1">
        <w:rPr>
          <w:sz w:val="28"/>
          <w:szCs w:val="28"/>
        </w:rPr>
        <w:t>Noureddine SLITI : CIA, CRMA, EBC*L, DPAI.</w:t>
      </w:r>
    </w:p>
    <w:p w:rsidR="00085D61" w:rsidRDefault="00085D61" w:rsidP="00085D61">
      <w:pPr>
        <w:tabs>
          <w:tab w:val="left" w:pos="2685"/>
        </w:tabs>
        <w:ind w:left="851"/>
        <w:rPr>
          <w:sz w:val="28"/>
          <w:szCs w:val="28"/>
        </w:rPr>
      </w:pPr>
      <w:r w:rsidRPr="006E05F1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</w:t>
      </w:r>
      <w:r w:rsidRPr="006E05F1">
        <w:rPr>
          <w:sz w:val="28"/>
          <w:szCs w:val="28"/>
        </w:rPr>
        <w:t xml:space="preserve"> Président IIA Tunisia</w:t>
      </w:r>
    </w:p>
    <w:p w:rsidR="00085D61" w:rsidRPr="006E05F1" w:rsidRDefault="00085D61" w:rsidP="006378A8">
      <w:pPr>
        <w:tabs>
          <w:tab w:val="left" w:pos="2685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85D61" w:rsidRPr="00F3180F" w:rsidRDefault="00085D61" w:rsidP="00085D61">
      <w:pPr>
        <w:tabs>
          <w:tab w:val="left" w:pos="2685"/>
        </w:tabs>
        <w:ind w:left="851"/>
        <w:rPr>
          <w:sz w:val="28"/>
          <w:szCs w:val="28"/>
        </w:rPr>
      </w:pPr>
    </w:p>
    <w:p w:rsidR="00085D61" w:rsidRDefault="00085D61" w:rsidP="00085D61">
      <w:pPr>
        <w:tabs>
          <w:tab w:val="left" w:pos="2685"/>
        </w:tabs>
        <w:rPr>
          <w:sz w:val="28"/>
          <w:szCs w:val="28"/>
        </w:rPr>
      </w:pPr>
      <w:r>
        <w:rPr>
          <w:b/>
          <w:bCs/>
        </w:rPr>
        <w:t xml:space="preserve">                     </w:t>
      </w:r>
      <w:r w:rsidRPr="00B6331E">
        <w:rPr>
          <w:b/>
          <w:bCs/>
        </w:rPr>
        <w:t>Animateur</w:t>
      </w:r>
      <w:r>
        <w:rPr>
          <w:b/>
          <w:bCs/>
        </w:rPr>
        <w:t>s :</w:t>
      </w:r>
      <w:r>
        <w:t xml:space="preserve">      </w:t>
      </w:r>
      <w:r>
        <w:rPr>
          <w:sz w:val="28"/>
          <w:szCs w:val="28"/>
        </w:rPr>
        <w:t>Moncef GASSOUMA : Directeur Conformité ATB.</w:t>
      </w:r>
    </w:p>
    <w:p w:rsidR="00085D61" w:rsidRDefault="00085D61" w:rsidP="00085D61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Rached YEDDES : Directeur Conformité BIAT. </w:t>
      </w:r>
    </w:p>
    <w:p w:rsidR="00085D61" w:rsidRDefault="00085D61" w:rsidP="00085D61">
      <w:pPr>
        <w:tabs>
          <w:tab w:val="left" w:pos="2190"/>
        </w:tabs>
        <w:rPr>
          <w:sz w:val="28"/>
          <w:szCs w:val="28"/>
        </w:rPr>
      </w:pPr>
    </w:p>
    <w:p w:rsidR="00085D61" w:rsidRPr="00F3180F" w:rsidRDefault="00085D61" w:rsidP="00085D61">
      <w:pPr>
        <w:tabs>
          <w:tab w:val="left" w:pos="2190"/>
        </w:tabs>
        <w:rPr>
          <w:sz w:val="28"/>
          <w:szCs w:val="28"/>
        </w:rPr>
      </w:pPr>
      <w:r>
        <w:rPr>
          <w:b/>
          <w:bCs/>
        </w:rPr>
        <w:t xml:space="preserve">                  </w:t>
      </w:r>
    </w:p>
    <w:p w:rsidR="00085D61" w:rsidRDefault="00085D61" w:rsidP="00085D61">
      <w:pPr>
        <w:tabs>
          <w:tab w:val="left" w:pos="2685"/>
        </w:tabs>
      </w:pPr>
      <w:r w:rsidRPr="00B6331E">
        <w:rPr>
          <w:rFonts w:cs="Aharoni"/>
          <w:b/>
          <w:bCs/>
          <w:i/>
          <w:iCs/>
          <w:u w:val="single"/>
        </w:rPr>
        <w:t>Journée 2 :</w:t>
      </w:r>
      <w:r>
        <w:t xml:space="preserve">   </w:t>
      </w:r>
      <w:r w:rsidRPr="000E2FCF">
        <w:rPr>
          <w:b/>
          <w:bCs/>
        </w:rPr>
        <w:t>21 Juillet </w:t>
      </w:r>
      <w:r>
        <w:t xml:space="preserve">: </w:t>
      </w:r>
      <w:r w:rsidRPr="00F3180F">
        <w:rPr>
          <w:sz w:val="28"/>
          <w:szCs w:val="28"/>
        </w:rPr>
        <w:t xml:space="preserve">La </w:t>
      </w:r>
      <w:r>
        <w:rPr>
          <w:sz w:val="28"/>
          <w:szCs w:val="28"/>
        </w:rPr>
        <w:t>Lutte</w:t>
      </w:r>
      <w:r w:rsidRPr="00F3180F">
        <w:rPr>
          <w:sz w:val="28"/>
          <w:szCs w:val="28"/>
        </w:rPr>
        <w:t xml:space="preserve"> contre le </w:t>
      </w:r>
      <w:r>
        <w:rPr>
          <w:sz w:val="28"/>
          <w:szCs w:val="28"/>
        </w:rPr>
        <w:t>C</w:t>
      </w:r>
      <w:r w:rsidRPr="00F3180F">
        <w:rPr>
          <w:sz w:val="28"/>
          <w:szCs w:val="28"/>
        </w:rPr>
        <w:t>rime Financier</w:t>
      </w:r>
      <w:r>
        <w:t xml:space="preserve"> </w:t>
      </w:r>
    </w:p>
    <w:p w:rsidR="00085D61" w:rsidRDefault="00085D61" w:rsidP="00085D61">
      <w:pPr>
        <w:tabs>
          <w:tab w:val="left" w:pos="2685"/>
        </w:tabs>
      </w:pPr>
    </w:p>
    <w:p w:rsidR="00085D61" w:rsidRDefault="00085D61" w:rsidP="00085D61">
      <w:pPr>
        <w:tabs>
          <w:tab w:val="left" w:pos="2685"/>
        </w:tabs>
        <w:rPr>
          <w:sz w:val="28"/>
          <w:szCs w:val="28"/>
        </w:rPr>
      </w:pPr>
      <w:r>
        <w:rPr>
          <w:b/>
          <w:bCs/>
        </w:rPr>
        <w:lastRenderedPageBreak/>
        <w:t xml:space="preserve">                    </w:t>
      </w:r>
      <w:r w:rsidRPr="00EA191F">
        <w:rPr>
          <w:b/>
          <w:bCs/>
        </w:rPr>
        <w:t>Modérateur :</w:t>
      </w:r>
      <w:r>
        <w:rPr>
          <w:sz w:val="28"/>
          <w:szCs w:val="28"/>
        </w:rPr>
        <w:t xml:space="preserve"> Amor SOUIDEN : CPA, CIA, CRMA, DPAI.</w:t>
      </w:r>
    </w:p>
    <w:p w:rsidR="00085D61" w:rsidRDefault="00085D61" w:rsidP="00085D6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Président d’Honneur IIA Tunisia</w:t>
      </w:r>
    </w:p>
    <w:p w:rsidR="00085D61" w:rsidRDefault="00085D61" w:rsidP="00085D61">
      <w:pPr>
        <w:tabs>
          <w:tab w:val="left" w:pos="2685"/>
        </w:tabs>
      </w:pPr>
    </w:p>
    <w:p w:rsidR="00085D61" w:rsidRDefault="00085D61" w:rsidP="00085D61">
      <w:pPr>
        <w:tabs>
          <w:tab w:val="left" w:pos="2685"/>
        </w:tabs>
        <w:rPr>
          <w:sz w:val="28"/>
          <w:szCs w:val="28"/>
        </w:rPr>
      </w:pPr>
      <w:r>
        <w:rPr>
          <w:b/>
          <w:bCs/>
        </w:rPr>
        <w:t xml:space="preserve">                    </w:t>
      </w:r>
      <w:r w:rsidRPr="00B6331E">
        <w:rPr>
          <w:b/>
          <w:bCs/>
        </w:rPr>
        <w:t>Animateurs :</w:t>
      </w:r>
      <w:r>
        <w:t xml:space="preserve"> </w:t>
      </w:r>
      <w:r w:rsidRPr="00F3180F">
        <w:rPr>
          <w:sz w:val="28"/>
          <w:szCs w:val="28"/>
        </w:rPr>
        <w:t>Hichem EL HAMMI</w:t>
      </w:r>
      <w:r>
        <w:rPr>
          <w:sz w:val="28"/>
          <w:szCs w:val="28"/>
        </w:rPr>
        <w:t xml:space="preserve"> : Président de Chambre Tribunal </w:t>
      </w:r>
    </w:p>
    <w:p w:rsidR="00085D61" w:rsidRPr="00F3180F" w:rsidRDefault="00085D61" w:rsidP="00085D61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Administratif (Conseil d’Etat).                                               </w:t>
      </w:r>
    </w:p>
    <w:p w:rsidR="00085D61" w:rsidRDefault="00085D61" w:rsidP="00085D61">
      <w:pPr>
        <w:tabs>
          <w:tab w:val="left" w:pos="1230"/>
        </w:tabs>
        <w:ind w:left="708"/>
        <w:rPr>
          <w:sz w:val="28"/>
          <w:szCs w:val="28"/>
        </w:rPr>
      </w:pPr>
      <w:r w:rsidRPr="00F3180F">
        <w:t xml:space="preserve"> </w:t>
      </w:r>
      <w:r w:rsidRPr="00F3180F">
        <w:tab/>
      </w:r>
      <w:r>
        <w:rPr>
          <w:sz w:val="28"/>
          <w:szCs w:val="28"/>
        </w:rPr>
        <w:t xml:space="preserve">                   </w:t>
      </w:r>
      <w:r w:rsidRPr="00F3180F">
        <w:rPr>
          <w:sz w:val="28"/>
          <w:szCs w:val="28"/>
        </w:rPr>
        <w:t>Aymen Moumni</w:t>
      </w:r>
      <w:r>
        <w:rPr>
          <w:sz w:val="28"/>
          <w:szCs w:val="28"/>
        </w:rPr>
        <w:t xml:space="preserve"> : Colonel Brigade  des Investigations à </w:t>
      </w:r>
    </w:p>
    <w:p w:rsidR="00085D61" w:rsidRDefault="00085D61" w:rsidP="00085D61">
      <w:pPr>
        <w:tabs>
          <w:tab w:val="left" w:pos="1230"/>
        </w:tabs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la Garde Nationale.             </w:t>
      </w:r>
    </w:p>
    <w:p w:rsidR="00085D61" w:rsidRPr="00F3180F" w:rsidRDefault="00085D61" w:rsidP="00085D61">
      <w:pPr>
        <w:tabs>
          <w:tab w:val="left" w:pos="1230"/>
        </w:tabs>
        <w:rPr>
          <w:sz w:val="28"/>
          <w:szCs w:val="28"/>
        </w:rPr>
      </w:pPr>
      <w:r>
        <w:rPr>
          <w:b/>
          <w:bCs/>
        </w:rPr>
        <w:t xml:space="preserve">              </w:t>
      </w: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  <w:r w:rsidRPr="00B6331E">
        <w:rPr>
          <w:rFonts w:cs="Aharoni"/>
          <w:b/>
          <w:bCs/>
          <w:i/>
          <w:iCs/>
          <w:u w:val="single"/>
        </w:rPr>
        <w:t>Journée 3 :</w:t>
      </w:r>
      <w:r>
        <w:t xml:space="preserve"> </w:t>
      </w:r>
      <w:r w:rsidRPr="00B6331E">
        <w:rPr>
          <w:b/>
          <w:bCs/>
        </w:rPr>
        <w:t>22 Juillet</w:t>
      </w:r>
      <w:r>
        <w:t xml:space="preserve"> : </w:t>
      </w:r>
      <w:r w:rsidRPr="000E2FCF">
        <w:rPr>
          <w:sz w:val="28"/>
          <w:szCs w:val="28"/>
        </w:rPr>
        <w:t>Le Contrôle Interne</w:t>
      </w:r>
      <w:r>
        <w:t xml:space="preserve">  </w:t>
      </w:r>
      <w:r w:rsidRPr="00A251D8">
        <w:rPr>
          <w:sz w:val="28"/>
          <w:szCs w:val="28"/>
        </w:rPr>
        <w:t>en Milieu Financier.</w:t>
      </w: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  <w:r>
        <w:rPr>
          <w:b/>
          <w:bCs/>
        </w:rPr>
        <w:t xml:space="preserve">                    </w:t>
      </w:r>
      <w:r w:rsidRPr="008413FE">
        <w:rPr>
          <w:b/>
          <w:bCs/>
        </w:rPr>
        <w:t>Modérateur :</w:t>
      </w:r>
      <w:r>
        <w:rPr>
          <w:sz w:val="28"/>
          <w:szCs w:val="28"/>
        </w:rPr>
        <w:t xml:space="preserve"> Mohamed NAAIMA : PhD, CIA, CRMA, DPAI. </w:t>
      </w: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Ex Président IIA Tunisia </w:t>
      </w:r>
    </w:p>
    <w:p w:rsidR="00085D61" w:rsidRDefault="00085D61" w:rsidP="00085D61">
      <w:pPr>
        <w:tabs>
          <w:tab w:val="left" w:pos="1230"/>
        </w:tabs>
      </w:pPr>
    </w:p>
    <w:p w:rsidR="00085D61" w:rsidRDefault="00085D61" w:rsidP="00085D61">
      <w:pPr>
        <w:tabs>
          <w:tab w:val="left" w:pos="1230"/>
        </w:tabs>
      </w:pPr>
    </w:p>
    <w:p w:rsidR="00085D61" w:rsidRPr="000E2FCF" w:rsidRDefault="00085D61" w:rsidP="00085D61">
      <w:pPr>
        <w:tabs>
          <w:tab w:val="left" w:pos="1230"/>
        </w:tabs>
        <w:rPr>
          <w:sz w:val="28"/>
          <w:szCs w:val="28"/>
        </w:rPr>
      </w:pPr>
      <w:r>
        <w:rPr>
          <w:b/>
          <w:bCs/>
        </w:rPr>
        <w:t xml:space="preserve">                   </w:t>
      </w:r>
      <w:r w:rsidRPr="00B6331E">
        <w:rPr>
          <w:b/>
          <w:bCs/>
        </w:rPr>
        <w:t>Animateurs :</w:t>
      </w:r>
      <w:r>
        <w:t xml:space="preserve">   </w:t>
      </w:r>
      <w:r w:rsidRPr="000E2FCF">
        <w:rPr>
          <w:sz w:val="28"/>
          <w:szCs w:val="28"/>
        </w:rPr>
        <w:t>Mouadh MHIRI</w:t>
      </w:r>
      <w:r>
        <w:rPr>
          <w:sz w:val="28"/>
          <w:szCs w:val="28"/>
        </w:rPr>
        <w:t xml:space="preserve"> : Expert Comptable </w:t>
      </w: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  <w:r w:rsidRPr="000E2FC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</w:t>
      </w:r>
      <w:r w:rsidRPr="000E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0E2FCF">
        <w:rPr>
          <w:sz w:val="28"/>
          <w:szCs w:val="28"/>
        </w:rPr>
        <w:t xml:space="preserve"> </w:t>
      </w:r>
      <w:r>
        <w:rPr>
          <w:sz w:val="28"/>
          <w:szCs w:val="28"/>
        </w:rPr>
        <w:t>Rochdi KOUKI</w:t>
      </w:r>
      <w:r>
        <w:t xml:space="preserve"> : </w:t>
      </w:r>
      <w:r w:rsidRPr="00D67F8A">
        <w:rPr>
          <w:sz w:val="28"/>
          <w:szCs w:val="28"/>
        </w:rPr>
        <w:t>Directeur</w:t>
      </w:r>
      <w:r>
        <w:rPr>
          <w:sz w:val="28"/>
          <w:szCs w:val="28"/>
        </w:rPr>
        <w:t xml:space="preserve"> de l’</w:t>
      </w:r>
      <w:r w:rsidRPr="008D55E3">
        <w:rPr>
          <w:sz w:val="28"/>
          <w:szCs w:val="28"/>
        </w:rPr>
        <w:t>Audit Interne</w:t>
      </w:r>
      <w:r>
        <w:t xml:space="preserve"> </w:t>
      </w:r>
      <w:r w:rsidRPr="00AA2307">
        <w:rPr>
          <w:sz w:val="28"/>
          <w:szCs w:val="28"/>
        </w:rPr>
        <w:t xml:space="preserve"> STB</w:t>
      </w:r>
    </w:p>
    <w:p w:rsidR="00085D61" w:rsidRDefault="00085D61" w:rsidP="00085D61">
      <w:pPr>
        <w:tabs>
          <w:tab w:val="left" w:pos="1230"/>
        </w:tabs>
        <w:rPr>
          <w:b/>
          <w:bCs/>
        </w:rPr>
      </w:pPr>
      <w:r>
        <w:rPr>
          <w:b/>
          <w:bCs/>
        </w:rPr>
        <w:t xml:space="preserve">                   </w:t>
      </w:r>
    </w:p>
    <w:p w:rsidR="00085D61" w:rsidRDefault="00085D61" w:rsidP="00085D61">
      <w:pPr>
        <w:tabs>
          <w:tab w:val="left" w:pos="1230"/>
        </w:tabs>
        <w:rPr>
          <w:rFonts w:cs="Aharoni"/>
          <w:b/>
          <w:bCs/>
          <w:i/>
          <w:iCs/>
          <w:u w:val="single"/>
        </w:rPr>
      </w:pPr>
      <w:r>
        <w:rPr>
          <w:b/>
          <w:bCs/>
        </w:rPr>
        <w:t xml:space="preserve">                    </w:t>
      </w:r>
    </w:p>
    <w:p w:rsidR="00085D61" w:rsidRDefault="00085D61" w:rsidP="00085D61">
      <w:pPr>
        <w:tabs>
          <w:tab w:val="left" w:pos="1230"/>
        </w:tabs>
        <w:rPr>
          <w:rFonts w:cs="Aharoni"/>
          <w:b/>
          <w:bCs/>
          <w:i/>
          <w:iCs/>
          <w:u w:val="single"/>
        </w:rPr>
      </w:pP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  <w:r w:rsidRPr="00B6331E">
        <w:rPr>
          <w:rFonts w:cs="Aharoni"/>
          <w:b/>
          <w:bCs/>
          <w:i/>
          <w:iCs/>
          <w:u w:val="single"/>
        </w:rPr>
        <w:t>Journée 4 :</w:t>
      </w:r>
      <w:r>
        <w:t xml:space="preserve"> </w:t>
      </w:r>
      <w:r w:rsidRPr="00B6331E">
        <w:rPr>
          <w:b/>
          <w:bCs/>
        </w:rPr>
        <w:t>23 Juillet </w:t>
      </w:r>
      <w:r w:rsidRPr="00DA7D1D">
        <w:rPr>
          <w:b/>
          <w:bCs/>
          <w:sz w:val="28"/>
          <w:szCs w:val="28"/>
        </w:rPr>
        <w:t>:</w:t>
      </w:r>
      <w:r w:rsidRPr="00DA7D1D">
        <w:rPr>
          <w:sz w:val="28"/>
          <w:szCs w:val="28"/>
        </w:rPr>
        <w:t xml:space="preserve"> </w:t>
      </w:r>
      <w:r w:rsidRPr="000E2FCF">
        <w:rPr>
          <w:sz w:val="28"/>
          <w:szCs w:val="28"/>
        </w:rPr>
        <w:t>Le Contrôle Permanent</w:t>
      </w:r>
      <w:r w:rsidRPr="000E2FCF">
        <w:t xml:space="preserve"> </w:t>
      </w:r>
      <w:r w:rsidRPr="00A251D8">
        <w:rPr>
          <w:sz w:val="28"/>
          <w:szCs w:val="28"/>
        </w:rPr>
        <w:t>en Milieu Financier.</w:t>
      </w: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</w:p>
    <w:p w:rsidR="00085D61" w:rsidRDefault="00085D61" w:rsidP="00085D61">
      <w:pPr>
        <w:tabs>
          <w:tab w:val="left" w:pos="2460"/>
        </w:tabs>
        <w:rPr>
          <w:sz w:val="28"/>
          <w:szCs w:val="28"/>
        </w:rPr>
      </w:pPr>
      <w:r>
        <w:rPr>
          <w:b/>
          <w:bCs/>
        </w:rPr>
        <w:t xml:space="preserve">                    </w:t>
      </w:r>
      <w:r w:rsidRPr="00025B60">
        <w:rPr>
          <w:b/>
          <w:bCs/>
        </w:rPr>
        <w:t>Modérateur :</w:t>
      </w:r>
      <w:r>
        <w:rPr>
          <w:sz w:val="28"/>
          <w:szCs w:val="28"/>
        </w:rPr>
        <w:t>Abdessattar KRIMI :</w:t>
      </w:r>
      <w:r w:rsidRPr="0032775E">
        <w:rPr>
          <w:sz w:val="28"/>
          <w:szCs w:val="28"/>
        </w:rPr>
        <w:t xml:space="preserve"> </w:t>
      </w:r>
      <w:r>
        <w:rPr>
          <w:sz w:val="28"/>
          <w:szCs w:val="28"/>
        </w:rPr>
        <w:t>CIA, CRMA,DPAI, QIAL.</w:t>
      </w:r>
    </w:p>
    <w:p w:rsidR="00085D61" w:rsidRPr="00E42B28" w:rsidRDefault="00085D61" w:rsidP="00085D61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Ex Secrétaire Général IIA Tunisia</w:t>
      </w:r>
    </w:p>
    <w:p w:rsidR="00085D61" w:rsidRPr="000E2FCF" w:rsidRDefault="00085D61" w:rsidP="00085D61">
      <w:pPr>
        <w:tabs>
          <w:tab w:val="left" w:pos="1230"/>
        </w:tabs>
      </w:pP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  <w:r>
        <w:t xml:space="preserve">                    </w:t>
      </w:r>
      <w:r w:rsidRPr="00B6331E">
        <w:rPr>
          <w:b/>
          <w:bCs/>
        </w:rPr>
        <w:t>Animateurs :</w:t>
      </w:r>
      <w:r>
        <w:t xml:space="preserve"> </w:t>
      </w:r>
      <w:r>
        <w:rPr>
          <w:sz w:val="28"/>
          <w:szCs w:val="28"/>
        </w:rPr>
        <w:t>Walid SAKKA : Directeur Conformité BNA</w:t>
      </w:r>
    </w:p>
    <w:p w:rsidR="00085D61" w:rsidRDefault="00085D61" w:rsidP="00085D61">
      <w:pPr>
        <w:tabs>
          <w:tab w:val="left" w:pos="12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Mme </w:t>
      </w:r>
      <w:r w:rsidRPr="000E2FCF">
        <w:rPr>
          <w:sz w:val="28"/>
          <w:szCs w:val="28"/>
        </w:rPr>
        <w:t>Habiba BE</w:t>
      </w:r>
      <w:r>
        <w:rPr>
          <w:sz w:val="28"/>
          <w:szCs w:val="28"/>
        </w:rPr>
        <w:t>T</w:t>
      </w:r>
      <w:r w:rsidRPr="000E2FCF">
        <w:rPr>
          <w:sz w:val="28"/>
          <w:szCs w:val="28"/>
        </w:rPr>
        <w:t>TAIEB</w:t>
      </w:r>
      <w:r>
        <w:rPr>
          <w:sz w:val="28"/>
          <w:szCs w:val="28"/>
        </w:rPr>
        <w:t xml:space="preserve"> : Ex Directeur Conformité </w:t>
      </w:r>
    </w:p>
    <w:p w:rsidR="00085D61" w:rsidRDefault="00085D61" w:rsidP="00085D61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BTK.</w:t>
      </w:r>
    </w:p>
    <w:p w:rsidR="00085D61" w:rsidRDefault="00085D61" w:rsidP="00085D61">
      <w:pPr>
        <w:tabs>
          <w:tab w:val="left" w:pos="2460"/>
        </w:tabs>
        <w:rPr>
          <w:sz w:val="28"/>
          <w:szCs w:val="28"/>
        </w:rPr>
      </w:pPr>
    </w:p>
    <w:p w:rsidR="00085D61" w:rsidRDefault="00085D61" w:rsidP="00085D61">
      <w:pPr>
        <w:rPr>
          <w:rFonts w:ascii="Calibri corps" w:hAnsi="Calibri corps"/>
          <w:b/>
          <w:bCs/>
        </w:rPr>
      </w:pPr>
      <w:r w:rsidRPr="0009078B">
        <w:rPr>
          <w:b/>
          <w:bCs/>
          <w:i/>
          <w:iCs/>
          <w:sz w:val="28"/>
          <w:szCs w:val="28"/>
          <w:u w:val="single"/>
        </w:rPr>
        <w:t>Colloque de Synthèse</w:t>
      </w:r>
      <w:r>
        <w:rPr>
          <w:b/>
          <w:bCs/>
          <w:i/>
          <w:iCs/>
          <w:sz w:val="28"/>
          <w:szCs w:val="28"/>
          <w:u w:val="single"/>
        </w:rPr>
        <w:t> :</w:t>
      </w:r>
      <w:r w:rsidRPr="00DB6CCD">
        <w:rPr>
          <w:rFonts w:ascii="Calibri corps" w:hAnsi="Calibri corps"/>
          <w:b/>
          <w:bCs/>
        </w:rPr>
        <w:t xml:space="preserve"> </w:t>
      </w:r>
      <w:r>
        <w:rPr>
          <w:rFonts w:ascii="Calibri corps" w:hAnsi="Calibri corps"/>
          <w:b/>
          <w:bCs/>
        </w:rPr>
        <w:t xml:space="preserve">28 Juillet </w:t>
      </w:r>
    </w:p>
    <w:p w:rsidR="00085D61" w:rsidRDefault="00085D61" w:rsidP="00085D61">
      <w:pPr>
        <w:rPr>
          <w:rFonts w:ascii="Calibri corps" w:hAnsi="Calibri corps"/>
          <w:b/>
          <w:bCs/>
        </w:rPr>
      </w:pPr>
    </w:p>
    <w:p w:rsidR="00085D61" w:rsidRPr="000A4F21" w:rsidRDefault="00085D61" w:rsidP="00085D61">
      <w:pPr>
        <w:rPr>
          <w:rFonts w:ascii="Calibri corps" w:hAnsi="Calibri corps"/>
          <w:b/>
          <w:bCs/>
          <w:i/>
          <w:iCs/>
          <w:u w:val="single"/>
        </w:rPr>
      </w:pPr>
      <w:r w:rsidRPr="000A4F21">
        <w:rPr>
          <w:rFonts w:ascii="Calibri corps" w:hAnsi="Calibri corps"/>
          <w:b/>
          <w:bCs/>
          <w:i/>
          <w:iCs/>
          <w:u w:val="single"/>
        </w:rPr>
        <w:t>Lieu</w:t>
      </w:r>
      <w:r w:rsidRPr="000A4F21">
        <w:rPr>
          <w:rFonts w:ascii="Calibri corps" w:hAnsi="Calibri corps" w:hint="eastAsia"/>
          <w:b/>
          <w:bCs/>
          <w:i/>
          <w:iCs/>
          <w:u w:val="single"/>
        </w:rPr>
        <w:t> </w:t>
      </w:r>
      <w:r w:rsidRPr="00612BF1">
        <w:rPr>
          <w:rFonts w:ascii="Calibri corps" w:hAnsi="Calibri corps"/>
          <w:b/>
          <w:bCs/>
        </w:rPr>
        <w:t xml:space="preserve">: </w:t>
      </w:r>
      <w:r w:rsidRPr="00AD2708">
        <w:rPr>
          <w:sz w:val="28"/>
          <w:szCs w:val="28"/>
        </w:rPr>
        <w:t>Le Château Bacchus</w:t>
      </w:r>
      <w:r w:rsidRPr="00AD2708">
        <w:rPr>
          <w:b/>
          <w:bCs/>
        </w:rPr>
        <w:t xml:space="preserve"> </w:t>
      </w:r>
      <w:r w:rsidRPr="00AD2708">
        <w:rPr>
          <w:sz w:val="28"/>
          <w:szCs w:val="28"/>
        </w:rPr>
        <w:t>Route de Tunis Km 48, Bouargoub 8040.</w:t>
      </w:r>
    </w:p>
    <w:p w:rsidR="00085D61" w:rsidRDefault="00085D61" w:rsidP="00085D61">
      <w:pPr>
        <w:rPr>
          <w:rFonts w:ascii="Calibri corps" w:hAnsi="Calibri corps"/>
          <w:b/>
          <w:bCs/>
        </w:rPr>
      </w:pPr>
    </w:p>
    <w:p w:rsidR="00085D61" w:rsidRDefault="00085D61" w:rsidP="00085D61">
      <w:pPr>
        <w:rPr>
          <w:rFonts w:ascii="Calibri corps" w:hAnsi="Calibri corps"/>
          <w:b/>
          <w:bCs/>
        </w:rPr>
      </w:pPr>
    </w:p>
    <w:p w:rsidR="00085D61" w:rsidRPr="0009078B" w:rsidRDefault="00085D61" w:rsidP="00085D61">
      <w:pPr>
        <w:rPr>
          <w:rFonts w:ascii="Calibri corps" w:hAnsi="Calibri corps"/>
          <w:b/>
          <w:bCs/>
        </w:rPr>
      </w:pPr>
    </w:p>
    <w:p w:rsidR="006A490A" w:rsidRDefault="006A490A"/>
    <w:p w:rsidR="00CF74B1" w:rsidRPr="006A490A" w:rsidRDefault="006A490A" w:rsidP="006A490A">
      <w:pPr>
        <w:tabs>
          <w:tab w:val="left" w:pos="5730"/>
        </w:tabs>
      </w:pPr>
      <w:r>
        <w:tab/>
      </w:r>
    </w:p>
    <w:sectPr w:rsidR="00CF74B1" w:rsidRPr="006A490A" w:rsidSect="00CF74B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33E" w:rsidRDefault="0062333E" w:rsidP="00085D61">
      <w:r>
        <w:separator/>
      </w:r>
    </w:p>
  </w:endnote>
  <w:endnote w:type="continuationSeparator" w:id="1">
    <w:p w:rsidR="0062333E" w:rsidRDefault="0062333E" w:rsidP="00085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corp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33E" w:rsidRDefault="0062333E" w:rsidP="00085D61">
      <w:r>
        <w:separator/>
      </w:r>
    </w:p>
  </w:footnote>
  <w:footnote w:type="continuationSeparator" w:id="1">
    <w:p w:rsidR="0062333E" w:rsidRDefault="0062333E" w:rsidP="00085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61" w:rsidRDefault="00085D61" w:rsidP="00085D61">
    <w:pPr>
      <w:rPr>
        <w:rFonts w:ascii="Verdana" w:hAnsi="Verdana" w:cs="Andalus"/>
        <w:b/>
        <w:bCs/>
        <w:color w:val="000099"/>
        <w:sz w:val="8"/>
        <w:szCs w:val="6"/>
        <w:lang w:bidi="ar-TN"/>
      </w:rPr>
    </w:pPr>
  </w:p>
  <w:p w:rsidR="00085D61" w:rsidRPr="00453B21" w:rsidRDefault="00085D61" w:rsidP="00085D61">
    <w:pPr>
      <w:rPr>
        <w:rFonts w:ascii="Verdana" w:hAnsi="Verdana" w:cs="Andalus"/>
        <w:b/>
        <w:bCs/>
        <w:color w:val="000099"/>
        <w:sz w:val="8"/>
        <w:szCs w:val="6"/>
        <w:lang w:bidi="ar-TN"/>
      </w:rPr>
    </w:pPr>
  </w:p>
  <w:p w:rsidR="00085D61" w:rsidRPr="00085D61" w:rsidRDefault="00085D61" w:rsidP="00085D61">
    <w:pPr>
      <w:bidi/>
      <w:ind w:left="12744" w:right="-468" w:hanging="12744"/>
      <w:rPr>
        <w:b/>
        <w:bCs/>
      </w:rPr>
    </w:pPr>
    <w:r w:rsidRPr="0010318E">
      <w:rPr>
        <w:rFonts w:cs="Andalus"/>
        <w:sz w:val="40"/>
        <w:szCs w:val="40"/>
        <w:lang w:bidi="ar-TN"/>
      </w:rPr>
      <w:t xml:space="preserve">      </w:t>
    </w:r>
  </w:p>
  <w:p w:rsidR="00085D61" w:rsidRPr="00085D61" w:rsidRDefault="00085D61" w:rsidP="00085D61">
    <w:pPr>
      <w:pStyle w:val="En-tte"/>
      <w:jc w:val="right"/>
      <w:rPr>
        <w:lang w:val="fr-F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61"/>
    <w:rsid w:val="00085D61"/>
    <w:rsid w:val="000B0561"/>
    <w:rsid w:val="001C6FA7"/>
    <w:rsid w:val="00212ABB"/>
    <w:rsid w:val="002B7B2D"/>
    <w:rsid w:val="002D4E16"/>
    <w:rsid w:val="003C0D66"/>
    <w:rsid w:val="003D4D4C"/>
    <w:rsid w:val="0062333E"/>
    <w:rsid w:val="006378A8"/>
    <w:rsid w:val="006A490A"/>
    <w:rsid w:val="006E1599"/>
    <w:rsid w:val="0085538A"/>
    <w:rsid w:val="0087420B"/>
    <w:rsid w:val="00951E2C"/>
    <w:rsid w:val="009B3136"/>
    <w:rsid w:val="009C0BA1"/>
    <w:rsid w:val="00A53D45"/>
    <w:rsid w:val="00AC0DCF"/>
    <w:rsid w:val="00BC1DC6"/>
    <w:rsid w:val="00CF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85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085D61"/>
    <w:rPr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85D6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085D6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5D61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5D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2020-07-16T11:17:00Z</cp:lastPrinted>
  <dcterms:created xsi:type="dcterms:W3CDTF">2020-07-16T07:30:00Z</dcterms:created>
  <dcterms:modified xsi:type="dcterms:W3CDTF">2020-07-16T11:24:00Z</dcterms:modified>
</cp:coreProperties>
</file>